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6A1B4D"/>
          <w:sz w:val="34"/>
          <w:szCs w:val="34"/>
        </w:rPr>
        <w:t xml:space="preserve">Data Protection Impact Assessment (DPIA)</w:t>
      </w:r>
    </w:p>
    <w:p>
      <w:pPr>
        <w:pBdr>
          <w:bottom w:val="single" w:color="B8860B" w:sz="12" w:space="6"/>
        </w:pBdr>
        <w:spacing w:after="120"/>
      </w:pPr>
      <w:r>
        <w:rPr>
          <w:rFonts w:ascii="Calibri" w:cs="Calibri" w:eastAsia="Calibri" w:hAnsi="Calibri"/>
          <w:i/>
          <w:iCs/>
          <w:color w:val="B8860B"/>
          <w:sz w:val="19"/>
          <w:szCs w:val="19"/>
        </w:rPr>
        <w:t xml:space="preserve">A template for charities — for AI and other higher-risk processing</w:t>
      </w:r>
    </w:p>
    <w:p>
      <w:pPr>
        <w:spacing w:after="140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Organisation: [Organisation name]     Completed by: [name / role]     Date: [ ]     Review date: [ ]</w:t>
      </w:r>
    </w:p>
    <w:p>
      <w:pPr>
        <w:spacing w:after="60"/>
      </w:pPr>
      <w:r>
        <w:rPr>
          <w:rFonts w:ascii="Calibri" w:cs="Calibri" w:eastAsia="Calibri" w:hAnsi="Calibri"/>
          <w:b w:val="false"/>
          <w:bCs w:val="false"/>
          <w:i/>
          <w:iCs/>
          <w:color w:val="555555"/>
          <w:sz w:val="19"/>
          <w:szCs w:val="19"/>
        </w:rPr>
        <w:t xml:space="preserve">A DPIA helps you identify and reduce the data-protection risks of a project before you start. Complete one before using AI on personal data, or for any processing likely to be high risk. Follow the ICO's DPIA guidance.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color w:val="6A1B4D"/>
          <w:sz w:val="21"/>
          <w:szCs w:val="21"/>
        </w:rPr>
        <w:t xml:space="preserve">Step 1 — Describe the processing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What are you planning to do, and why? What is the benefit?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What personal data is involved? Note any special category data (e.g. religious belief, health, ethnicity).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Whose data is it (beneficiaries, members, staff, donors, children)? How much, from where, and how long will you keep it?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If AI or a supplier is involved: which tool, what does it do, where does the data go, and is it used to train the supplier's models?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[Your description]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color w:val="6A1B4D"/>
          <w:sz w:val="21"/>
          <w:szCs w:val="21"/>
        </w:rPr>
        <w:t xml:space="preserve">Step 2 — Necessity and proportionality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Why is this processing necessary to achieve your aim?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What is your lawful basis — and, for special category data, your Article 9 condition?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Could you achieve the same aim with less data, or a less intrusive method?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55555"/>
          <w:sz w:val="19"/>
          <w:szCs w:val="19"/>
        </w:rPr>
        <w:t xml:space="preserve">[Your assessment]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color w:val="6A1B4D"/>
          <w:sz w:val="21"/>
          <w:szCs w:val="21"/>
        </w:rPr>
        <w:t xml:space="preserve">Step 3 — Consultation</w:t>
      </w:r>
    </w:p>
    <w:p>
      <w:pPr>
        <w:spacing w:after="6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Who have you consulted (e.g. your data protection adviser/DPO, affected individuals, staff, the supplier)?  [ ]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color w:val="6A1B4D"/>
          <w:sz w:val="21"/>
          <w:szCs w:val="21"/>
        </w:rPr>
        <w:t xml:space="preserve">Step 4 — Identify and assess the risks to individuals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pct" w:w="34%"/>
            <w:shd w:fill="6A1B4D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Risk to individuals</w:t>
            </w:r>
          </w:p>
        </w:tc>
        <w:tc>
          <w:tcPr>
            <w:tcW w:type="pct" w:w="16%"/>
            <w:shd w:fill="6A1B4D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Likelihood (L/M/H)</w:t>
            </w:r>
          </w:p>
        </w:tc>
        <w:tc>
          <w:tcPr>
            <w:tcW w:type="pct" w:w="16%"/>
            <w:shd w:fill="6A1B4D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Severity (L/M/H)</w:t>
            </w:r>
          </w:p>
        </w:tc>
        <w:tc>
          <w:tcPr>
            <w:tcW w:type="pct" w:w="34%"/>
            <w:shd w:fill="6A1B4D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Measure to reduce the risk</w:t>
            </w:r>
          </w:p>
        </w:tc>
      </w:tr>
      <w:tr>
        <w:tc>
          <w:tcPr>
            <w:tcW w:type="pct" w:w="34%"/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pct" w:w="16%"/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pct" w:w="16%"/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pct" w:w="34%"/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34%"/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pct" w:w="16%"/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pct" w:w="16%"/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pct" w:w="34%"/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  <w:tr>
        <w:tc>
          <w:tcPr>
            <w:tcW w:type="pct" w:w="34%"/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pct" w:w="16%"/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pct" w:w="16%"/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  <w:tc>
          <w:tcPr>
            <w:tcW w:type="pct" w:w="34%"/>
          </w:tcPr>
          <w:p>
            <w:r>
              <w:rPr>
                <w:rFonts w:ascii="Calibri" w:cs="Calibri" w:eastAsia="Calibri" w:hAnsi="Calibri"/>
                <w:sz w:val="18"/>
                <w:szCs w:val="18"/>
              </w:rPr>
              <w:t xml:space="preserve"> </w:t>
            </w:r>
          </w:p>
        </w:tc>
      </w:tr>
    </w:tbl>
    <w:p>
      <w:pPr>
        <w:spacing w:after="60"/>
      </w:pPr>
      <w:r>
        <w:rPr>
          <w:rFonts w:ascii="Calibri" w:cs="Calibri" w:eastAsia="Calibri" w:hAnsi="Calibri"/>
          <w:b w:val="false"/>
          <w:bCs w:val="false"/>
          <w:i/>
          <w:iCs/>
          <w:color w:val="555555"/>
          <w:sz w:val="19"/>
          <w:szCs w:val="19"/>
        </w:rPr>
        <w:t xml:space="preserve">Examples of risks: a data breach; inaccurate or biased AI output affecting someone; loss of control over data; re-identification; data used to train a third party's model; lack of human oversight.</w:t>
      </w:r>
    </w:p>
    <w:p>
      <w:pPr>
        <w:spacing w:after="40" w:before="140"/>
      </w:pPr>
      <w:r>
        <w:rPr>
          <w:rFonts w:ascii="Calibri" w:cs="Calibri" w:eastAsia="Calibri" w:hAnsi="Calibri"/>
          <w:b/>
          <w:bCs/>
          <w:color w:val="6A1B4D"/>
          <w:sz w:val="21"/>
          <w:szCs w:val="21"/>
        </w:rPr>
        <w:t xml:space="preserve">Step 5 — Outcome and sign-off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Residual risk after measures: [Low / Medium / High]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If a high risk remains that you cannot reduce, consult the ICO before starting.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Approved by: [name / role]     Date: [ ]</w:t>
      </w:r>
    </w:p>
    <w:p>
      <w:pPr>
        <w:pStyle w:val="ListParagraph"/>
        <w:numPr>
          <w:ilvl w:val="0"/>
          <w:numId w:val="1"/>
        </w:numPr>
        <w:spacing w:after="3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Review date: [ ]</w:t>
      </w:r>
    </w:p>
    <w:sectPr>
      <w:footerReference w:type="default" r:id="rId7"/>
      <w:pgSz w:w="11906" w:h="16838" w:orient="portrait"/>
      <w:pgMar w:top="640" w:right="900" w:bottom="64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8860B" w:sz="8" w:space="4"/>
      </w:pBdr>
    </w:pPr>
    <w:r>
      <w:rPr>
        <w:rFonts w:ascii="Calibri" w:cs="Calibri" w:eastAsia="Calibri" w:hAnsi="Calibri"/>
        <w:color w:val="555555"/>
        <w:sz w:val="15"/>
        <w:szCs w:val="15"/>
      </w:rPr>
      <w:t xml:space="preserve">Template provided by FaithStar — www.faithstar.co.uk.  General information only, not legal advice; adapt to your organisation and take advice where needed.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2026-09-17T08:44:19.133Z</dcterms:created>
  <dcterms:modified xsi:type="dcterms:W3CDTF">2026-09-17T08:44:19.133Z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