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6A1B4D"/>
          <w:sz w:val="40"/>
          <w:szCs w:val="40"/>
        </w:rPr>
        <w:t xml:space="preserve">Data breach response plan</w:t>
      </w:r>
    </w:p>
    <w:p>
      <w:pPr>
        <w:spacing w:after="40"/>
      </w:pPr>
      <w:r>
        <w:rPr>
          <w:i/>
          <w:iCs/>
          <w:color w:val="B8860B"/>
          <w:sz w:val="24"/>
          <w:szCs w:val="24"/>
        </w:rPr>
        <w:t xml:space="preserve">A template for faith-based and community organisations</w:t>
      </w:r>
    </w:p>
    <w:p>
      <w:pPr>
        <w:spacing w:after="200"/>
      </w:pPr>
      <w:r>
        <w:rPr>
          <w:color w:val="555555"/>
          <w:sz w:val="20"/>
          <w:szCs w:val="20"/>
        </w:rPr>
        <w:t xml:space="preserve">Adapt this to your organisation and keep it where your team can find it fast. A personal data breach must be handled quickly — you may have as little as 72 hours to report it to the ICO.</w:t>
      </w:r>
    </w:p>
    <w:p>
      <w:pPr>
        <w:spacing w:after="100"/>
      </w:pPr>
      <w:r>
        <w:rPr>
          <w:b/>
          <w:bCs/>
        </w:rPr>
        <w:t xml:space="preserve">Organisation:  </w:t>
      </w:r>
      <w:r>
        <w:rPr>
          <w:color w:val="555555"/>
        </w:rPr>
        <w:t xml:space="preserve">________________________________________</w:t>
      </w:r>
    </w:p>
    <w:p>
      <w:pPr>
        <w:spacing w:after="100"/>
      </w:pPr>
      <w:r>
        <w:rPr>
          <w:b/>
          <w:bCs/>
        </w:rPr>
        <w:t xml:space="preserve">Data protection contact / DPO:  </w:t>
      </w:r>
      <w:r>
        <w:rPr>
          <w:color w:val="555555"/>
        </w:rPr>
        <w:t xml:space="preserve">________________________________________</w:t>
      </w:r>
    </w:p>
    <w:p>
      <w:pPr>
        <w:spacing w:after="100"/>
      </w:pPr>
      <w:r>
        <w:rPr>
          <w:b/>
          <w:bCs/>
        </w:rPr>
        <w:t xml:space="preserve">Date adopted / last reviewed:  </w:t>
      </w:r>
      <w:r>
        <w:rPr>
          <w:color w:val="555555"/>
        </w:rPr>
        <w:t xml:space="preserve">________________________________________</w:t>
      </w:r>
    </w:p>
    <w:p>
      <w:pPr>
        <w:spacing w:after="100"/>
      </w:pPr>
      <w:r>
        <w:rPr>
          <w:b/>
          <w:bCs/>
        </w:rPr>
        <w:t xml:space="preserve">Next review date:  </w:t>
      </w:r>
      <w:r>
        <w:rPr>
          <w:color w:val="555555"/>
        </w:rPr>
        <w:t xml:space="preserve">________________________________________</w:t>
      </w:r>
    </w:p>
    <w:p>
      <w:pPr>
        <w:pStyle w:val="Heading2"/>
        <w:spacing w:after="90" w:before="220"/>
      </w:pPr>
      <w:r>
        <w:rPr>
          <w:b/>
          <w:bCs/>
          <w:color w:val="6A1B4D"/>
        </w:rPr>
        <w:t xml:space="preserve">1. What is a personal data breach?</w:t>
      </w:r>
    </w:p>
    <w:p>
      <w:pPr>
        <w:spacing w:after="100"/>
      </w:pPr>
      <w:r>
        <w:t xml:space="preserve">A breach of security leading to the accidental or unlawful destruction, loss, alteration, or unauthorised disclosure of, or access to, personal data. It is more than 'losing' data — it includes a hacked system, a lost or stolen laptop or phone, an email or letter sent to the wrong person, or a supplier's systems being compromised.</w:t>
      </w:r>
    </w:p>
    <w:p>
      <w:pPr>
        <w:pStyle w:val="Heading2"/>
        <w:spacing w:after="90" w:before="220"/>
      </w:pPr>
      <w:r>
        <w:rPr>
          <w:b/>
          <w:bCs/>
          <w:color w:val="6A1B4D"/>
        </w:rPr>
        <w:t xml:space="preserve">2. Who does what</w:t>
      </w:r>
    </w:p>
    <w:p>
      <w:pPr>
        <w:spacing w:after="100"/>
      </w:pPr>
      <w:r>
        <w:rPr>
          <w:b/>
          <w:bCs/>
        </w:rPr>
        <w:t xml:space="preserve">Breach lead (coordinates the response):  </w:t>
      </w:r>
      <w:r>
        <w:rPr>
          <w:color w:val="555555"/>
        </w:rPr>
        <w:t xml:space="preserve">________________________________________</w:t>
      </w:r>
    </w:p>
    <w:p>
      <w:pPr>
        <w:spacing w:after="100"/>
      </w:pPr>
      <w:r>
        <w:rPr>
          <w:b/>
          <w:bCs/>
        </w:rPr>
        <w:t xml:space="preserve">Data protection contact / DPO:  </w:t>
      </w:r>
      <w:r>
        <w:rPr>
          <w:color w:val="555555"/>
        </w:rPr>
        <w:t xml:space="preserve">________________________________________</w:t>
      </w:r>
    </w:p>
    <w:p>
      <w:pPr>
        <w:spacing w:after="100"/>
      </w:pPr>
      <w:r>
        <w:rPr>
          <w:b/>
          <w:bCs/>
        </w:rPr>
        <w:t xml:space="preserve">Decision-maker (trustee / senior leader):  </w:t>
      </w:r>
      <w:r>
        <w:rPr>
          <w:color w:val="555555"/>
        </w:rPr>
        <w:t xml:space="preserve">________________________________________</w:t>
      </w:r>
    </w:p>
    <w:p>
      <w:pPr>
        <w:spacing w:after="100"/>
      </w:pPr>
      <w:r>
        <w:rPr>
          <w:b/>
          <w:bCs/>
        </w:rPr>
        <w:t xml:space="preserve">Communications lead:  </w:t>
      </w:r>
      <w:r>
        <w:rPr>
          <w:color w:val="555555"/>
        </w:rPr>
        <w:t xml:space="preserve">________________________________________</w:t>
      </w:r>
    </w:p>
    <w:p>
      <w:pPr>
        <w:spacing w:after="100"/>
      </w:pPr>
      <w:r>
        <w:rPr>
          <w:b/>
          <w:bCs/>
        </w:rPr>
        <w:t xml:space="preserve">IT / security contact:  </w:t>
      </w:r>
      <w:r>
        <w:rPr>
          <w:color w:val="555555"/>
        </w:rPr>
        <w:t xml:space="preserve">________________________________________</w:t>
      </w:r>
    </w:p>
    <w:p>
      <w:pPr>
        <w:spacing w:after="100"/>
      </w:pPr>
      <w:r>
        <w:rPr>
          <w:b/>
          <w:bCs/>
        </w:rPr>
        <w:t xml:space="preserve">Out-of-hours contact:  </w:t>
      </w:r>
      <w:r>
        <w:rPr>
          <w:color w:val="555555"/>
        </w:rPr>
        <w:t xml:space="preserve">________________________________________</w:t>
      </w:r>
    </w:p>
    <w:p>
      <w:pPr>
        <w:pStyle w:val="Heading2"/>
        <w:spacing w:after="90" w:before="220"/>
      </w:pPr>
      <w:r>
        <w:rPr>
          <w:b/>
          <w:bCs/>
          <w:color w:val="6A1B4D"/>
        </w:rPr>
        <w:t xml:space="preserve">3. First hour — immediate actions</w:t>
      </w:r>
    </w:p>
    <w:p>
      <w:pPr>
        <w:pStyle w:val="ListParagraph"/>
        <w:numPr>
          <w:ilvl w:val="0"/>
          <w:numId w:val="1"/>
        </w:numPr>
        <w:spacing w:after="60"/>
      </w:pPr>
      <w:r>
        <w:t xml:space="preserve">Contain it — stop the breach continuing (disable access, recover data, change passwords and access keys).</w:t>
      </w:r>
    </w:p>
    <w:p>
      <w:pPr>
        <w:pStyle w:val="ListParagraph"/>
        <w:numPr>
          <w:ilvl w:val="0"/>
          <w:numId w:val="1"/>
        </w:numPr>
        <w:spacing w:after="60"/>
      </w:pPr>
      <w:r>
        <w:t xml:space="preserve">Do not destroy evidence.</w:t>
      </w:r>
    </w:p>
    <w:p>
      <w:pPr>
        <w:pStyle w:val="ListParagraph"/>
        <w:numPr>
          <w:ilvl w:val="0"/>
          <w:numId w:val="1"/>
        </w:numPr>
        <w:spacing w:after="60"/>
      </w:pPr>
      <w:r>
        <w:t xml:space="preserve">Start a breach log — what happened, when, and how it was discovered.</w:t>
      </w:r>
    </w:p>
    <w:p>
      <w:pPr>
        <w:pStyle w:val="ListParagraph"/>
        <w:numPr>
          <w:ilvl w:val="0"/>
          <w:numId w:val="1"/>
        </w:numPr>
        <w:spacing w:after="60"/>
      </w:pPr>
      <w:r>
        <w:t xml:space="preserve">Convene the breach lead and the data protection contact.</w:t>
      </w:r>
    </w:p>
    <w:p>
      <w:pPr>
        <w:pStyle w:val="Heading2"/>
        <w:spacing w:after="90" w:before="220"/>
      </w:pPr>
      <w:r>
        <w:rPr>
          <w:b/>
          <w:bCs/>
          <w:color w:val="6A1B4D"/>
        </w:rPr>
        <w:t xml:space="preserve">4. Assess the risk</w:t>
      </w:r>
    </w:p>
    <w:p>
      <w:pPr>
        <w:pStyle w:val="ListParagraph"/>
        <w:numPr>
          <w:ilvl w:val="0"/>
          <w:numId w:val="1"/>
        </w:numPr>
        <w:spacing w:after="60"/>
      </w:pPr>
      <w:r>
        <w:t xml:space="preserve">What personal data is involved, and whose?</w:t>
      </w:r>
    </w:p>
    <w:p>
      <w:pPr>
        <w:pStyle w:val="ListParagraph"/>
        <w:numPr>
          <w:ilvl w:val="0"/>
          <w:numId w:val="1"/>
        </w:numPr>
        <w:spacing w:after="60"/>
      </w:pPr>
      <w:r>
        <w:t xml:space="preserve">How many people are affected?</w:t>
      </w:r>
    </w:p>
    <w:p>
      <w:pPr>
        <w:pStyle w:val="ListParagraph"/>
        <w:numPr>
          <w:ilvl w:val="0"/>
          <w:numId w:val="1"/>
        </w:numPr>
        <w:spacing w:after="60"/>
      </w:pPr>
      <w:r>
        <w:t xml:space="preserve">What harm could result — identity theft, distress, a safeguarding risk, financial loss?</w:t>
      </w:r>
    </w:p>
    <w:p>
      <w:pPr>
        <w:pStyle w:val="ListParagraph"/>
        <w:numPr>
          <w:ilvl w:val="0"/>
          <w:numId w:val="1"/>
        </w:numPr>
        <w:spacing w:after="60"/>
      </w:pPr>
      <w:r>
        <w:t xml:space="preserve">Is this a HIGH risk to the people affected?</w:t>
      </w:r>
    </w:p>
    <w:p>
      <w:pPr>
        <w:pStyle w:val="Heading2"/>
        <w:spacing w:after="90" w:before="220"/>
      </w:pPr>
      <w:r>
        <w:rPr>
          <w:b/>
          <w:bCs/>
          <w:color w:val="6A1B4D"/>
        </w:rPr>
        <w:t xml:space="preserve">5. Notify the ICO — within 72 hours</w:t>
      </w:r>
    </w:p>
    <w:p>
      <w:pPr>
        <w:spacing w:after="100"/>
      </w:pPr>
      <w:r>
        <w:t xml:space="preserve">You must report a personal data breach to the ICO within 72 hours of becoming aware of it, UNLESS it is unlikely to pose a risk to people's rights and freedoms. Report through the ICO's online service or helpline. Do not wait until you have every detail — report on time and update later. Record your decision either way, and the reasons for it.</w:t>
      </w:r>
    </w:p>
    <w:p>
      <w:pPr>
        <w:spacing w:after="100"/>
      </w:pPr>
      <w:r>
        <w:rPr>
          <w:b/>
          <w:bCs/>
        </w:rPr>
        <w:t xml:space="preserve">Reported to ICO? (date / reference):  </w:t>
      </w:r>
      <w:r>
        <w:rPr>
          <w:color w:val="555555"/>
        </w:rPr>
        <w:t xml:space="preserve">________________________________________</w:t>
      </w:r>
    </w:p>
    <w:p>
      <w:pPr>
        <w:pStyle w:val="Heading2"/>
        <w:spacing w:after="90" w:before="220"/>
      </w:pPr>
      <w:r>
        <w:rPr>
          <w:b/>
          <w:bCs/>
          <w:color w:val="6A1B4D"/>
        </w:rPr>
        <w:t xml:space="preserve">6. Tell the people affected</w:t>
      </w:r>
    </w:p>
    <w:p>
      <w:pPr>
        <w:spacing w:after="100"/>
      </w:pPr>
      <w:r>
        <w:t xml:space="preserve">If the breach is likely to result in a HIGH risk to the people affected, tell them without undue delay, in plain language: what happened, what data was involved, what they can do to protect themselves, and how to contact you.</w:t>
      </w:r>
    </w:p>
    <w:p>
      <w:pPr>
        <w:pStyle w:val="Heading2"/>
        <w:spacing w:after="90" w:before="220"/>
      </w:pPr>
      <w:r>
        <w:rPr>
          <w:b/>
          <w:bCs/>
          <w:color w:val="6A1B4D"/>
        </w:rPr>
        <w:t xml:space="preserve">7. If a supplier or processor is breached</w:t>
      </w:r>
    </w:p>
    <w:p>
      <w:pPr>
        <w:pBdr>
          <w:left w:val="single" w:color="B8860B" w:sz="18" w:space="12"/>
        </w:pBdr>
        <w:spacing w:after="100"/>
        <w:ind w:left="360"/>
      </w:pPr>
      <w:r>
        <w:rPr>
          <w:i/>
          <w:iCs/>
        </w:rPr>
        <w:t xml:space="preserve">If a company that holds data on your behalf (a CRM, mailing tool or cloud service) is breached, you — as the data controller — still have your own legal duties. Get the facts from the supplier, assess the risk to YOUR people, report to the ICO and inform individuals as needed, and act on the supplier's guidance rather than assuming they have handled everything for you.</w:t>
      </w:r>
    </w:p>
    <w:p>
      <w:pPr>
        <w:pStyle w:val="Heading2"/>
        <w:spacing w:after="90" w:before="220"/>
      </w:pPr>
      <w:r>
        <w:rPr>
          <w:b/>
          <w:bCs/>
          <w:color w:val="6A1B4D"/>
        </w:rPr>
        <w:t xml:space="preserve">8. Record the breach</w:t>
      </w:r>
    </w:p>
    <w:p>
      <w:pPr>
        <w:spacing w:after="100"/>
      </w:pPr>
      <w:r>
        <w:t xml:space="preserve">Keep a record of every personal data breach — the facts, its effects and the action taken — even where it is not reportable to the ICO.</w:t>
      </w:r>
    </w:p>
    <w:p>
      <w:pPr>
        <w:pStyle w:val="Heading2"/>
        <w:spacing w:after="90" w:before="220"/>
      </w:pPr>
      <w:r>
        <w:rPr>
          <w:b/>
          <w:bCs/>
          <w:color w:val="6A1B4D"/>
        </w:rPr>
        <w:t xml:space="preserve">9. Review and learn</w:t>
      </w:r>
    </w:p>
    <w:p>
      <w:pPr>
        <w:spacing w:after="100"/>
      </w:pPr>
      <w:r>
        <w:t xml:space="preserve">After the incident, review what happened, fix the underlying cause, and update this plan, your controls and your training.</w:t>
      </w:r>
    </w:p>
    <w:p>
      <w:pPr>
        <w:pStyle w:val="Heading2"/>
        <w:spacing w:after="90" w:before="220"/>
      </w:pPr>
      <w:r>
        <w:rPr>
          <w:b/>
          <w:bCs/>
          <w:color w:val="6A1B4D"/>
        </w:rPr>
        <w:t xml:space="preserve">10. Also consider</w:t>
      </w:r>
    </w:p>
    <w:p>
      <w:pPr>
        <w:pStyle w:val="ListParagraph"/>
        <w:numPr>
          <w:ilvl w:val="0"/>
          <w:numId w:val="1"/>
        </w:numPr>
        <w:spacing w:after="60"/>
      </w:pPr>
      <w:r>
        <w:t xml:space="preserve">A serious-incident report to the Charity Commission, where the thresholds are met.</w:t>
      </w:r>
    </w:p>
    <w:p>
      <w:pPr>
        <w:pStyle w:val="ListParagraph"/>
        <w:numPr>
          <w:ilvl w:val="0"/>
          <w:numId w:val="1"/>
        </w:numPr>
        <w:spacing w:after="60"/>
      </w:pPr>
      <w:r>
        <w:t xml:space="preserve">Notifying your insurer.</w:t>
      </w:r>
    </w:p>
    <w:p>
      <w:pPr>
        <w:pStyle w:val="ListParagraph"/>
        <w:numPr>
          <w:ilvl w:val="0"/>
          <w:numId w:val="1"/>
        </w:numPr>
        <w:spacing w:after="60"/>
      </w:pPr>
      <w:r>
        <w:t xml:space="preserve">Reporting to the police (e.g. Action Fraud) if a crime may have been committed.</w:t>
      </w:r>
    </w:p>
    <w:p>
      <w:pPr>
        <w:pStyle w:val="ListParagraph"/>
        <w:numPr>
          <w:ilvl w:val="0"/>
          <w:numId w:val="1"/>
        </w:numPr>
        <w:spacing w:after="60"/>
      </w:pPr>
      <w:r>
        <w:t xml:space="preserve">Any other regulator relevant to your work.</w:t>
      </w:r>
    </w:p>
    <w:p>
      <w:pPr>
        <w:pStyle w:val="Heading2"/>
        <w:spacing w:after="90" w:before="220"/>
      </w:pPr>
      <w:r>
        <w:rPr>
          <w:b/>
          <w:bCs/>
          <w:color w:val="6A1B4D"/>
        </w:rPr>
        <w:t xml:space="preserve">Key contacts</w:t>
      </w:r>
    </w:p>
    <w:p>
      <w:pPr>
        <w:spacing w:after="100"/>
      </w:pPr>
      <w:r>
        <w:rPr>
          <w:b/>
          <w:bCs/>
        </w:rPr>
        <w:t xml:space="preserve">ICO (report a breach):  </w:t>
      </w:r>
      <w:r>
        <w:rPr>
          <w:color w:val="555555"/>
        </w:rPr>
        <w:t xml:space="preserve">________________________________________</w:t>
      </w:r>
    </w:p>
    <w:p>
      <w:pPr>
        <w:spacing w:after="100"/>
      </w:pPr>
      <w:r>
        <w:rPr>
          <w:b/>
          <w:bCs/>
        </w:rPr>
        <w:t xml:space="preserve">Our data-protection adviser / lawyer:  </w:t>
      </w:r>
      <w:r>
        <w:rPr>
          <w:color w:val="555555"/>
        </w:rPr>
        <w:t xml:space="preserve">________________________________________</w:t>
      </w:r>
    </w:p>
    <w:p>
      <w:pPr>
        <w:spacing w:after="100"/>
      </w:pPr>
      <w:r>
        <w:rPr>
          <w:b/>
          <w:bCs/>
        </w:rPr>
        <w:t xml:space="preserve">IT support:  </w:t>
      </w:r>
      <w:r>
        <w:rPr>
          <w:color w:val="555555"/>
        </w:rPr>
        <w:t xml:space="preserve">________________________________________</w:t>
      </w:r>
    </w:p>
    <w:p>
      <w:pPr>
        <w:spacing w:after="100"/>
      </w:pPr>
      <w:r>
        <w:rPr>
          <w:b/>
          <w:bCs/>
        </w:rPr>
        <w:t xml:space="preserve">Insurer:  </w:t>
      </w:r>
      <w:r>
        <w:rPr>
          <w:color w:val="555555"/>
        </w:rPr>
        <w:t xml:space="preserve">________________________________________</w:t>
      </w:r>
    </w:p>
    <w:p>
      <w:pPr>
        <w:spacing w:after="100"/>
      </w:pPr>
      <w:r>
        <w:rPr>
          <w:b/>
          <w:bCs/>
        </w:rPr>
        <w:t xml:space="preserve">Police (101, or 999 in an emergency):  </w:t>
      </w:r>
      <w:r>
        <w:rPr>
          <w:color w:val="555555"/>
        </w:rPr>
        <w:t xml:space="preserve">________________________________________</w:t>
      </w:r>
    </w:p>
    <w:p>
      <w:pPr>
        <w:pBdr>
          <w:top w:val="single" w:color="CCCCCC" w:sz="6" w:space="12"/>
        </w:pBdr>
        <w:spacing w:before="300"/>
      </w:pPr>
      <w:r>
        <w:rPr>
          <w:i/>
          <w:iCs/>
          <w:color w:val="555555"/>
          <w:sz w:val="16"/>
          <w:szCs w:val="16"/>
        </w:rPr>
        <w:t xml:space="preserve">This is a general template to adapt, not professional advice. Data protection law is detailed and a live breach needs prompt, specialist handling — always check the current ICO guidance (ico.org.uk), meet the 72-hour reporting duty where it applies, and take professional advice.  Provided by FaithStar — www.faithstar.co.uk</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2026-08-11T08:47:12.128Z</dcterms:created>
  <dcterms:modified xsi:type="dcterms:W3CDTF">2026-08-11T08:47:12.129Z</dcterms:modified>
</cp:coreProperties>
</file>

<file path=docProps/custom.xml><?xml version="1.0" encoding="utf-8"?>
<Properties xmlns="http://schemas.openxmlformats.org/officeDocument/2006/custom-properties" xmlns:vt="http://schemas.openxmlformats.org/officeDocument/2006/docPropsVTypes"/>
</file>